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9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4657725</wp:posOffset>
                </wp:positionH>
                <wp:positionV relativeFrom="page">
                  <wp:posOffset>260350</wp:posOffset>
                </wp:positionV>
                <wp:extent cx="0" cy="612775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12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6.75pt,20.5pt" to="366.75pt,68.75pt" o:allowincell="f" strokecolor="#FFC000" strokeweight="1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336550</wp:posOffset>
                </wp:positionH>
                <wp:positionV relativeFrom="page">
                  <wp:posOffset>266700</wp:posOffset>
                </wp:positionV>
                <wp:extent cx="432752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7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5pt,21pt" to="367.25pt,21pt" o:allowincell="f" strokecolor="#FFC000" strokeweight="1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260350</wp:posOffset>
                </wp:positionV>
                <wp:extent cx="0" cy="61277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12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pt,20.5pt" to="27pt,68.75pt" o:allowincell="f" strokecolor="#FFC000" strokeweight="1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336550</wp:posOffset>
                </wp:positionH>
                <wp:positionV relativeFrom="page">
                  <wp:posOffset>866775</wp:posOffset>
                </wp:positionV>
                <wp:extent cx="432752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7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5pt,68.25pt" to="367.25pt,68.25pt" o:allowincell="f" strokecolor="#FFC000" strokeweight="1pt">
                <w10:wrap anchorx="page" anchory="page"/>
              </v:line>
            </w:pict>
          </mc:Fallback>
        </mc:AlternateContent>
      </w:r>
    </w:p>
    <w:p>
      <w:pPr>
        <w:jc w:val="center"/>
        <w:ind w:right="40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color w:val="833C0B"/>
        </w:rPr>
        <w:t>НАВИГАТОР ДОПОЛНИТЕЛЬНОГО ОБРАЗОВАНИЯ</w:t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jc w:val="center"/>
        <w:ind w:right="40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color w:val="833C0B"/>
        </w:rPr>
        <w:t>ДЕТЕЙ СТАВРОПОЛЬСКОГО КРАЯ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2766060</wp:posOffset>
            </wp:positionH>
            <wp:positionV relativeFrom="paragraph">
              <wp:posOffset>225425</wp:posOffset>
            </wp:positionV>
            <wp:extent cx="4076700" cy="2292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29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4"/>
          <w:szCs w:val="34"/>
          <w:b w:val="1"/>
          <w:bCs w:val="1"/>
          <w:color w:val="833C0B"/>
        </w:rPr>
        <w:t xml:space="preserve">НАВИГАТОР </w:t>
      </w:r>
      <w:r>
        <w:rPr>
          <w:rFonts w:ascii="Calibri" w:cs="Calibri" w:eastAsia="Calibri" w:hAnsi="Calibri"/>
          <w:sz w:val="21"/>
          <w:szCs w:val="21"/>
          <w:color w:val="000000"/>
        </w:rPr>
        <w:t>-</w:t>
      </w:r>
      <w:r>
        <w:rPr>
          <w:rFonts w:ascii="Calibri" w:cs="Calibri" w:eastAsia="Calibri" w:hAnsi="Calibri"/>
          <w:sz w:val="34"/>
          <w:szCs w:val="34"/>
          <w:b w:val="1"/>
          <w:bCs w:val="1"/>
          <w:color w:val="833C0B"/>
        </w:rPr>
        <w:t xml:space="preserve"> </w:t>
      </w:r>
      <w:r>
        <w:rPr>
          <w:rFonts w:ascii="Calibri" w:cs="Calibri" w:eastAsia="Calibri" w:hAnsi="Calibri"/>
          <w:sz w:val="21"/>
          <w:szCs w:val="21"/>
          <w:color w:val="000000"/>
        </w:rPr>
        <w:t>интернет</w:t>
      </w:r>
      <w:r>
        <w:rPr>
          <w:rFonts w:ascii="Calibri" w:cs="Calibri" w:eastAsia="Calibri" w:hAnsi="Calibri"/>
          <w:sz w:val="21"/>
          <w:szCs w:val="21"/>
          <w:color w:val="000000"/>
        </w:rPr>
        <w:t>-</w:t>
      </w:r>
      <w:r>
        <w:rPr>
          <w:rFonts w:ascii="Calibri" w:cs="Calibri" w:eastAsia="Calibri" w:hAnsi="Calibri"/>
          <w:sz w:val="21"/>
          <w:szCs w:val="21"/>
          <w:color w:val="000000"/>
        </w:rPr>
        <w:t>площадка</w:t>
      </w:r>
      <w:r>
        <w:rPr>
          <w:rFonts w:ascii="Calibri" w:cs="Calibri" w:eastAsia="Calibri" w:hAnsi="Calibri"/>
          <w:sz w:val="21"/>
          <w:szCs w:val="21"/>
          <w:color w:val="000000"/>
        </w:rPr>
        <w:t>,</w:t>
      </w:r>
      <w:r>
        <w:rPr>
          <w:rFonts w:ascii="Calibri" w:cs="Calibri" w:eastAsia="Calibri" w:hAnsi="Calibri"/>
          <w:sz w:val="34"/>
          <w:szCs w:val="34"/>
          <w:b w:val="1"/>
          <w:bCs w:val="1"/>
          <w:color w:val="833C0B"/>
        </w:rPr>
        <w:t xml:space="preserve"> </w:t>
      </w:r>
      <w:r>
        <w:rPr>
          <w:rFonts w:ascii="Calibri" w:cs="Calibri" w:eastAsia="Calibri" w:hAnsi="Calibri"/>
          <w:sz w:val="21"/>
          <w:szCs w:val="21"/>
          <w:color w:val="000000"/>
        </w:rPr>
        <w:t>представляющая собой единую базу данных</w:t>
      </w:r>
      <w:r>
        <w:rPr>
          <w:rFonts w:ascii="Calibri" w:cs="Calibri" w:eastAsia="Calibri" w:hAnsi="Calibri"/>
          <w:sz w:val="21"/>
          <w:szCs w:val="21"/>
          <w:color w:val="000000"/>
        </w:rPr>
        <w:t>,</w:t>
      </w:r>
      <w:r>
        <w:rPr>
          <w:rFonts w:ascii="Calibri" w:cs="Calibri" w:eastAsia="Calibri" w:hAnsi="Calibri"/>
          <w:sz w:val="34"/>
          <w:szCs w:val="34"/>
          <w:b w:val="1"/>
          <w:bCs w:val="1"/>
          <w:color w:val="833C0B"/>
        </w:rPr>
        <w:t xml:space="preserve"> </w:t>
      </w:r>
      <w:r>
        <w:rPr>
          <w:rFonts w:ascii="Calibri" w:cs="Calibri" w:eastAsia="Calibri" w:hAnsi="Calibri"/>
          <w:sz w:val="21"/>
          <w:szCs w:val="21"/>
          <w:color w:val="000000"/>
        </w:rPr>
        <w:t>в которой собрана информация</w:t>
      </w:r>
    </w:p>
    <w:p>
      <w:pPr>
        <w:spacing w:after="0" w:line="83" w:lineRule="exact"/>
        <w:rPr>
          <w:sz w:val="24"/>
          <w:szCs w:val="24"/>
          <w:color w:val="auto"/>
        </w:rPr>
      </w:pPr>
    </w:p>
    <w:p>
      <w:pPr>
        <w:spacing w:after="0" w:line="22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об организациях дополнительного образования и обо всех кружках и секциях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реализуемых на территории Ставропольского края</w:t>
      </w:r>
      <w:r>
        <w:rPr>
          <w:rFonts w:ascii="Calibri" w:cs="Calibri" w:eastAsia="Calibri" w:hAnsi="Calibri"/>
          <w:sz w:val="22"/>
          <w:szCs w:val="22"/>
          <w:color w:val="auto"/>
        </w:rPr>
        <w:t>.</w:t>
      </w:r>
    </w:p>
    <w:p>
      <w:pPr>
        <w:spacing w:after="0" w:line="231" w:lineRule="exact"/>
        <w:rPr>
          <w:sz w:val="24"/>
          <w:szCs w:val="24"/>
          <w:color w:val="auto"/>
        </w:rPr>
      </w:pPr>
    </w:p>
    <w:p>
      <w:pPr>
        <w:ind w:right="100" w:firstLine="3"/>
        <w:spacing w:after="0" w:line="227" w:lineRule="auto"/>
        <w:tabs>
          <w:tab w:leader="none" w:pos="127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Возможность выбора кружка или секции любой направленности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не выходя из дома</w:t>
      </w:r>
      <w:r>
        <w:rPr>
          <w:rFonts w:ascii="Calibri" w:cs="Calibri" w:eastAsia="Calibri" w:hAnsi="Calibri"/>
          <w:sz w:val="22"/>
          <w:szCs w:val="22"/>
          <w:color w:val="auto"/>
        </w:rPr>
        <w:t>;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просмотр каталога организаций дополнительного образования Ставропольского края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140" w:hanging="137"/>
        <w:spacing w:after="0"/>
        <w:tabs>
          <w:tab w:leader="none" w:pos="14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Просмотр программы и подача предварительной заявки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140" w:hanging="137"/>
        <w:spacing w:after="0"/>
        <w:tabs>
          <w:tab w:leader="none" w:pos="14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Ознакомление с подробной информацией о каждой программе с фото и иллюстрациями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140" w:hanging="137"/>
        <w:spacing w:after="0"/>
        <w:tabs>
          <w:tab w:leader="none" w:pos="14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Возможность оставить отзывы о программе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а также просмотр отзывов и оценок</w:t>
      </w:r>
      <w:r>
        <w:rPr>
          <w:rFonts w:ascii="Calibri" w:cs="Calibri" w:eastAsia="Calibri" w:hAnsi="Calibri"/>
          <w:sz w:val="22"/>
          <w:szCs w:val="22"/>
          <w:color w:val="auto"/>
        </w:rPr>
        <w:t>,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которые оставляют родители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140" w:hanging="137"/>
        <w:spacing w:after="0"/>
        <w:tabs>
          <w:tab w:leader="none" w:pos="14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Запись на меропритие через модуль </w:t>
      </w:r>
      <w:r>
        <w:rPr>
          <w:rFonts w:ascii="Calibri" w:cs="Calibri" w:eastAsia="Calibri" w:hAnsi="Calibri"/>
          <w:sz w:val="22"/>
          <w:szCs w:val="22"/>
          <w:color w:val="auto"/>
        </w:rPr>
        <w:t>«</w:t>
      </w:r>
      <w:r>
        <w:rPr>
          <w:rFonts w:ascii="Calibri" w:cs="Calibri" w:eastAsia="Calibri" w:hAnsi="Calibri"/>
          <w:sz w:val="22"/>
          <w:szCs w:val="22"/>
          <w:color w:val="auto"/>
        </w:rPr>
        <w:t>Мероприятия</w:t>
      </w:r>
      <w:r>
        <w:rPr>
          <w:rFonts w:ascii="Calibri" w:cs="Calibri" w:eastAsia="Calibri" w:hAnsi="Calibri"/>
          <w:sz w:val="22"/>
          <w:szCs w:val="22"/>
          <w:color w:val="auto"/>
        </w:rPr>
        <w:t>»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spacing w:after="0" w:line="368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jc w:val="both"/>
        <w:ind w:left="140"/>
        <w:spacing w:after="0" w:line="260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Сертификат дополнительного образования гарантирует получение детьми качественного дополнительного образования по тем дополнительным общеобразовательным программам</w:t>
      </w:r>
      <w:r>
        <w:rPr>
          <w:rFonts w:ascii="Calibri" w:cs="Calibri" w:eastAsia="Calibri" w:hAnsi="Calibri"/>
          <w:sz w:val="21"/>
          <w:szCs w:val="21"/>
          <w:color w:val="auto"/>
        </w:rPr>
        <w:t>,</w:t>
      </w:r>
      <w:r>
        <w:rPr>
          <w:rFonts w:ascii="Calibri" w:cs="Calibri" w:eastAsia="Calibri" w:hAnsi="Calibri"/>
          <w:sz w:val="21"/>
          <w:szCs w:val="21"/>
          <w:color w:val="auto"/>
        </w:rPr>
        <w:t xml:space="preserve"> которые для них интересны</w:t>
      </w:r>
      <w:r>
        <w:rPr>
          <w:rFonts w:ascii="Calibri" w:cs="Calibri" w:eastAsia="Calibri" w:hAnsi="Calibri"/>
          <w:sz w:val="21"/>
          <w:szCs w:val="21"/>
          <w:color w:val="auto"/>
        </w:rPr>
        <w:t>,</w:t>
      </w:r>
      <w:r>
        <w:rPr>
          <w:rFonts w:ascii="Calibri" w:cs="Calibri" w:eastAsia="Calibri" w:hAnsi="Calibri"/>
          <w:sz w:val="21"/>
          <w:szCs w:val="21"/>
          <w:color w:val="auto"/>
        </w:rPr>
        <w:t xml:space="preserve"> востребованы</w:t>
      </w:r>
      <w:r>
        <w:rPr>
          <w:rFonts w:ascii="Calibri" w:cs="Calibri" w:eastAsia="Calibri" w:hAnsi="Calibri"/>
          <w:sz w:val="21"/>
          <w:szCs w:val="21"/>
          <w:color w:val="auto"/>
        </w:rPr>
        <w:t>,</w:t>
      </w:r>
      <w:r>
        <w:rPr>
          <w:rFonts w:ascii="Calibri" w:cs="Calibri" w:eastAsia="Calibri" w:hAnsi="Calibri"/>
          <w:sz w:val="21"/>
          <w:szCs w:val="21"/>
          <w:color w:val="auto"/>
        </w:rPr>
        <w:t xml:space="preserve"> значимы и современны</w:t>
      </w:r>
      <w:r>
        <w:rPr>
          <w:rFonts w:ascii="Calibri" w:cs="Calibri" w:eastAsia="Calibri" w:hAnsi="Calibri"/>
          <w:sz w:val="21"/>
          <w:szCs w:val="21"/>
          <w:color w:val="auto"/>
        </w:rPr>
        <w:t>.</w:t>
      </w:r>
      <w:r>
        <w:rPr>
          <w:rFonts w:ascii="Calibri" w:cs="Calibri" w:eastAsia="Calibri" w:hAnsi="Calibri"/>
          <w:sz w:val="21"/>
          <w:szCs w:val="21"/>
          <w:color w:val="auto"/>
        </w:rPr>
        <w:t xml:space="preserve"> А также</w:t>
      </w:r>
      <w:r>
        <w:rPr>
          <w:rFonts w:ascii="Calibri" w:cs="Calibri" w:eastAsia="Calibri" w:hAnsi="Calibri"/>
          <w:sz w:val="21"/>
          <w:szCs w:val="21"/>
          <w:color w:val="auto"/>
        </w:rPr>
        <w:t>,</w:t>
      </w:r>
      <w:r>
        <w:rPr>
          <w:rFonts w:ascii="Calibri" w:cs="Calibri" w:eastAsia="Calibri" w:hAnsi="Calibri"/>
          <w:sz w:val="21"/>
          <w:szCs w:val="21"/>
          <w:color w:val="auto"/>
        </w:rPr>
        <w:t xml:space="preserve"> сертификат дополнительного образования </w:t>
      </w:r>
      <w:r>
        <w:rPr>
          <w:rFonts w:ascii="Calibri" w:cs="Calibri" w:eastAsia="Calibri" w:hAnsi="Calibri"/>
          <w:sz w:val="21"/>
          <w:szCs w:val="21"/>
          <w:color w:val="auto"/>
        </w:rPr>
        <w:t>–</w:t>
      </w:r>
      <w:r>
        <w:rPr>
          <w:rFonts w:ascii="Calibri" w:cs="Calibri" w:eastAsia="Calibri" w:hAnsi="Calibri"/>
          <w:sz w:val="21"/>
          <w:szCs w:val="21"/>
          <w:color w:val="auto"/>
        </w:rPr>
        <w:t xml:space="preserve"> это официальное подтверждение возможности ребенка обучаться в кружках и секциях дополнительного образования за счет средств государства</w:t>
      </w:r>
      <w:r>
        <w:rPr>
          <w:rFonts w:ascii="Calibri" w:cs="Calibri" w:eastAsia="Calibri" w:hAnsi="Calibri"/>
          <w:sz w:val="21"/>
          <w:szCs w:val="21"/>
          <w:color w:val="auto"/>
        </w:rPr>
        <w:t>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-177165</wp:posOffset>
            </wp:positionH>
            <wp:positionV relativeFrom="paragraph">
              <wp:posOffset>-1200150</wp:posOffset>
            </wp:positionV>
            <wp:extent cx="7546975" cy="4254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-177165</wp:posOffset>
            </wp:positionH>
            <wp:positionV relativeFrom="paragraph">
              <wp:posOffset>8255</wp:posOffset>
            </wp:positionV>
            <wp:extent cx="7559675" cy="3308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330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53" w:lineRule="exact"/>
        <w:rPr>
          <w:sz w:val="24"/>
          <w:szCs w:val="24"/>
          <w:color w:val="auto"/>
        </w:r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color w:val="FFFFFF"/>
        </w:rPr>
        <w:t>Как получить сертификат дополнительного образования</w:t>
      </w:r>
      <w:r>
        <w:rPr>
          <w:rFonts w:ascii="Calibri" w:cs="Calibri" w:eastAsia="Calibri" w:hAnsi="Calibri"/>
          <w:sz w:val="28"/>
          <w:szCs w:val="28"/>
          <w:b w:val="1"/>
          <w:bCs w:val="1"/>
          <w:color w:val="FFFFFF"/>
        </w:rPr>
        <w:t>?</w:t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color w:val="FFFFFF"/>
        </w:rPr>
        <w:t>Два способа получения сертификата дополнительного образования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1" w:lineRule="exact"/>
        <w:rPr>
          <w:sz w:val="24"/>
          <w:szCs w:val="24"/>
          <w:color w:val="auto"/>
        </w:rPr>
      </w:pPr>
    </w:p>
    <w:tbl>
      <w:tblPr>
        <w:tblLayout w:type="fixed"/>
        <w:tblInd w:w="12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5220" w:type="dxa"/>
            <w:vAlign w:val="bottom"/>
          </w:tcPr>
          <w:p>
            <w:pPr>
              <w:ind w:left="1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1-</w:t>
            </w: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ый</w:t>
            </w:r>
          </w:p>
        </w:tc>
        <w:tc>
          <w:tcPr>
            <w:tcW w:w="2700" w:type="dxa"/>
            <w:vAlign w:val="bottom"/>
          </w:tcPr>
          <w:p>
            <w:pPr>
              <w:ind w:left="1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2-</w:t>
            </w: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ой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5"/>
        </w:trPr>
        <w:tc>
          <w:tcPr>
            <w:tcW w:w="5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Регистрация на сайте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5220" w:type="dxa"/>
            <w:vAlign w:val="bottom"/>
            <w:vMerge w:val="restart"/>
          </w:tcPr>
          <w:p>
            <w:pPr>
              <w:jc w:val="center"/>
              <w:ind w:right="23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9"/>
              </w:rPr>
              <w:t>Регистрация через Госуслуги</w:t>
            </w:r>
          </w:p>
        </w:tc>
        <w:tc>
          <w:tcPr>
            <w:tcW w:w="27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Навигатор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52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5220" w:type="dxa"/>
            <w:vAlign w:val="bottom"/>
          </w:tcPr>
          <w:p>
            <w:pPr>
              <w:jc w:val="center"/>
              <w:ind w:right="237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из личного кабинета</w:t>
            </w:r>
          </w:p>
        </w:tc>
        <w:tc>
          <w:tcPr>
            <w:tcW w:w="2700" w:type="dxa"/>
            <w:vAlign w:val="bottom"/>
            <w:tcBorders>
              <w:bottom w:val="single" w:sz="8" w:color="0563C1"/>
            </w:tcBorders>
          </w:tcPr>
          <w:p>
            <w:pPr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0563C1"/>
                <w:w w:val="99"/>
              </w:rPr>
              <w:t>https://</w:t>
            </w: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0563C1"/>
                <w:w w:val="99"/>
              </w:rPr>
              <w:t>р</w:t>
            </w: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0563C1"/>
                <w:w w:val="99"/>
              </w:rPr>
              <w:t>26.</w:t>
            </w: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0563C1"/>
                <w:w w:val="99"/>
              </w:rPr>
              <w:t>навигатор</w:t>
            </w: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0563C1"/>
                <w:w w:val="99"/>
              </w:rPr>
              <w:t>.</w:t>
            </w: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0563C1"/>
                <w:w w:val="99"/>
              </w:rPr>
              <w:t>дети</w:t>
            </w: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0563C1"/>
                <w:w w:val="99"/>
              </w:rPr>
              <w:t>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-177165</wp:posOffset>
            </wp:positionH>
            <wp:positionV relativeFrom="paragraph">
              <wp:posOffset>1290955</wp:posOffset>
            </wp:positionV>
            <wp:extent cx="7559675" cy="7423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936" w:orient="portrait"/>
          <w:cols w:equalWidth="0" w:num="1">
            <w:col w:w="11340"/>
          </w:cols>
          <w:pgMar w:left="280" w:top="498" w:right="286" w:bottom="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3" w:lineRule="exact"/>
        <w:rPr>
          <w:sz w:val="24"/>
          <w:szCs w:val="24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6"/>
          <w:szCs w:val="26"/>
          <w:b w:val="1"/>
          <w:bCs w:val="1"/>
          <w:color w:val="833C0B"/>
        </w:rPr>
        <w:t>Региональный модельный центр дополнительного образования детей Ставропольского края</w:t>
      </w:r>
    </w:p>
    <w:sectPr>
      <w:pgSz w:w="11900" w:h="16936" w:orient="portrait"/>
      <w:cols w:equalWidth="0" w:num="1">
        <w:col w:w="11340"/>
      </w:cols>
      <w:pgMar w:left="280" w:top="498" w:right="286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784"/>
    <w:multiLevelType w:val="hybridMultilevel"/>
    <w:lvl w:ilvl="0">
      <w:lvlJc w:val="left"/>
      <w:lvlText w:val="•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9" Type="http://schemas.openxmlformats.org/officeDocument/2006/relationships/image" Target="media/image2.png" />
  <Relationship Id="rId10" Type="http://schemas.openxmlformats.org/officeDocument/2006/relationships/image" Target="media/image3.png" />
  <Relationship Id="rId11" Type="http://schemas.openxmlformats.org/officeDocument/2006/relationships/image" Target="media/image4.pn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2023-05-11T10:52:01Z</dcterms:created>
  <dcterms:modified xsi:type="dcterms:W3CDTF">2023-05-11T10:52:01Z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